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F7D1AFF" w:rsidR="003676DA" w:rsidRPr="00414D4C" w:rsidRDefault="000C7B8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 Diego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F7D1AFF" w:rsidR="003676DA" w:rsidRPr="00414D4C" w:rsidRDefault="000C7B8C"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 Diego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B7F12B7" w14:textId="2AA4747D" w:rsidR="00F04D40" w:rsidRDefault="00F04D40" w:rsidP="001E1516">
      <w:pPr>
        <w:tabs>
          <w:tab w:val="num" w:pos="720"/>
        </w:tabs>
        <w:contextualSpacing/>
        <w:rPr>
          <w:rFonts w:ascii="Arial" w:hAnsi="Arial" w:cs="Arial"/>
          <w:sz w:val="22"/>
          <w:szCs w:val="22"/>
        </w:rPr>
      </w:pPr>
    </w:p>
    <w:p w14:paraId="0215B2E2" w14:textId="77777777" w:rsidR="000C7B8C" w:rsidRDefault="000C7B8C"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F7FD2F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0C7B8C">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0C7B8C">
                              <w:rPr>
                                <w:rFonts w:ascii="Arial" w:hAnsi="Arial" w:cs="Arial"/>
                                <w:b/>
                                <w:color w:val="000000" w:themeColor="text1"/>
                                <w:sz w:val="26"/>
                                <w:szCs w:val="26"/>
                              </w:rPr>
                              <w:t>03-17</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2F7FD2F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0C7B8C">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0C7B8C">
                        <w:rPr>
                          <w:rFonts w:ascii="Arial" w:hAnsi="Arial" w:cs="Arial"/>
                          <w:b/>
                          <w:color w:val="000000" w:themeColor="text1"/>
                          <w:sz w:val="26"/>
                          <w:szCs w:val="26"/>
                        </w:rPr>
                        <w:t>03-17</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243771C9" w14:textId="77777777" w:rsidR="000C7B8C" w:rsidRPr="000C7B8C" w:rsidRDefault="000C7B8C" w:rsidP="000C7B8C">
      <w:pPr>
        <w:pStyle w:val="ListParagraph"/>
        <w:numPr>
          <w:ilvl w:val="0"/>
          <w:numId w:val="1"/>
        </w:numPr>
        <w:rPr>
          <w:rFonts w:ascii="Arial" w:hAnsi="Arial" w:cs="Arial"/>
          <w:color w:val="000000" w:themeColor="text1"/>
          <w:sz w:val="22"/>
          <w:szCs w:val="22"/>
        </w:rPr>
      </w:pPr>
      <w:r w:rsidRPr="000C7B8C">
        <w:rPr>
          <w:rFonts w:ascii="Arial" w:hAnsi="Arial" w:cs="Arial"/>
          <w:color w:val="000000" w:themeColor="text1"/>
          <w:sz w:val="22"/>
          <w:szCs w:val="22"/>
        </w:rPr>
        <w:t>No comment.</w:t>
      </w:r>
    </w:p>
    <w:p w14:paraId="52D17BB6" w14:textId="77777777" w:rsidR="007F05E3" w:rsidRPr="000C7B8C" w:rsidRDefault="007F05E3" w:rsidP="000C7B8C">
      <w:pPr>
        <w:ind w:left="720"/>
        <w:rPr>
          <w:rFonts w:ascii="Arial" w:hAnsi="Arial" w:cs="Arial"/>
          <w:color w:val="000000" w:themeColor="text1"/>
          <w:sz w:val="22"/>
          <w:szCs w:val="22"/>
        </w:rPr>
      </w:pPr>
    </w:p>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354E9B33" w14:textId="77777777" w:rsidR="000C7B8C" w:rsidRPr="000C7B8C" w:rsidRDefault="000C7B8C" w:rsidP="000C7B8C">
      <w:pPr>
        <w:pStyle w:val="ListParagraph"/>
        <w:numPr>
          <w:ilvl w:val="0"/>
          <w:numId w:val="1"/>
        </w:numPr>
        <w:rPr>
          <w:rFonts w:ascii="Arial" w:hAnsi="Arial" w:cs="Arial"/>
          <w:color w:val="000000" w:themeColor="text1"/>
          <w:sz w:val="22"/>
          <w:szCs w:val="22"/>
        </w:rPr>
      </w:pPr>
      <w:r w:rsidRPr="000C7B8C">
        <w:rPr>
          <w:rFonts w:ascii="Arial" w:hAnsi="Arial" w:cs="Arial"/>
          <w:color w:val="000000" w:themeColor="text1"/>
          <w:sz w:val="22"/>
          <w:szCs w:val="22"/>
        </w:rPr>
        <w:t>No comment.</w:t>
      </w:r>
    </w:p>
    <w:p w14:paraId="6E4DF006" w14:textId="77777777" w:rsidR="007F05E3" w:rsidRPr="000C7B8C" w:rsidRDefault="007F05E3" w:rsidP="000C7B8C">
      <w:pPr>
        <w:ind w:left="360"/>
        <w:rPr>
          <w:rFonts w:ascii="Arial" w:hAnsi="Arial" w:cs="Arial"/>
          <w:color w:val="000000" w:themeColor="text1"/>
          <w:sz w:val="22"/>
          <w:szCs w:val="22"/>
        </w:rPr>
      </w:pPr>
    </w:p>
    <w:p w14:paraId="5C06176B" w14:textId="77777777" w:rsidR="000C7B8C" w:rsidRDefault="000C7B8C" w:rsidP="007F05E3">
      <w:pPr>
        <w:tabs>
          <w:tab w:val="num" w:pos="720"/>
        </w:tabs>
        <w:contextualSpacing/>
        <w:rPr>
          <w:rFonts w:ascii="Arial" w:hAnsi="Arial" w:cs="Arial"/>
          <w:b/>
          <w:i/>
        </w:rPr>
      </w:pPr>
    </w:p>
    <w:p w14:paraId="29A441E2" w14:textId="77777777" w:rsidR="000C7B8C" w:rsidRDefault="000C7B8C" w:rsidP="007F05E3">
      <w:pPr>
        <w:tabs>
          <w:tab w:val="num" w:pos="720"/>
        </w:tabs>
        <w:contextualSpacing/>
        <w:rPr>
          <w:rFonts w:ascii="Arial" w:hAnsi="Arial" w:cs="Arial"/>
          <w:b/>
          <w:i/>
        </w:rPr>
      </w:pPr>
    </w:p>
    <w:p w14:paraId="3EFE08D2" w14:textId="70BD4F9E"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64431119" w14:textId="77777777" w:rsidR="000C7B8C" w:rsidRPr="000C7B8C" w:rsidRDefault="000C7B8C" w:rsidP="000C7B8C">
      <w:pPr>
        <w:numPr>
          <w:ilvl w:val="0"/>
          <w:numId w:val="1"/>
        </w:numPr>
        <w:rPr>
          <w:rFonts w:ascii="Arial" w:hAnsi="Arial" w:cs="Arial"/>
          <w:color w:val="000000" w:themeColor="text1"/>
          <w:sz w:val="22"/>
          <w:szCs w:val="22"/>
        </w:rPr>
      </w:pPr>
      <w:r w:rsidRPr="000C7B8C">
        <w:rPr>
          <w:rFonts w:ascii="Arial" w:hAnsi="Arial" w:cs="Arial"/>
          <w:color w:val="000000" w:themeColor="text1"/>
          <w:sz w:val="22"/>
          <w:szCs w:val="22"/>
        </w:rPr>
        <w:t xml:space="preserve">Staff #1-4 – Applicant must provide OHV duty descriptors showing how duties relate to OHV enforcement.  </w:t>
      </w:r>
    </w:p>
    <w:p w14:paraId="7BF3E388" w14:textId="77777777" w:rsidR="000C7B8C" w:rsidRPr="000C7B8C" w:rsidRDefault="000C7B8C" w:rsidP="000C7B8C">
      <w:pPr>
        <w:numPr>
          <w:ilvl w:val="0"/>
          <w:numId w:val="1"/>
        </w:numPr>
        <w:rPr>
          <w:rFonts w:ascii="Arial" w:hAnsi="Arial" w:cs="Arial"/>
          <w:color w:val="000000" w:themeColor="text1"/>
          <w:sz w:val="22"/>
          <w:szCs w:val="22"/>
        </w:rPr>
      </w:pPr>
      <w:r w:rsidRPr="000C7B8C">
        <w:rPr>
          <w:rFonts w:ascii="Arial" w:hAnsi="Arial" w:cs="Arial"/>
          <w:color w:val="000000" w:themeColor="text1"/>
          <w:sz w:val="22"/>
          <w:szCs w:val="22"/>
        </w:rPr>
        <w:t>Staff #4 “Law Enforcement Deputies and Reserves” – Costs significantly increased compared to prior year’s Application. Applicant must provide additional details to justify the costs.</w:t>
      </w:r>
    </w:p>
    <w:p w14:paraId="566CE545" w14:textId="77777777" w:rsidR="000C7B8C" w:rsidRPr="000C7B8C" w:rsidRDefault="000C7B8C" w:rsidP="000C7B8C">
      <w:pPr>
        <w:numPr>
          <w:ilvl w:val="0"/>
          <w:numId w:val="1"/>
        </w:numPr>
        <w:rPr>
          <w:rFonts w:ascii="Arial" w:hAnsi="Arial" w:cs="Arial"/>
          <w:color w:val="000000" w:themeColor="text1"/>
          <w:sz w:val="22"/>
          <w:szCs w:val="22"/>
        </w:rPr>
      </w:pPr>
      <w:r w:rsidRPr="000C7B8C">
        <w:rPr>
          <w:rFonts w:ascii="Arial" w:hAnsi="Arial" w:cs="Arial"/>
          <w:color w:val="000000" w:themeColor="text1"/>
          <w:sz w:val="22"/>
          <w:szCs w:val="22"/>
        </w:rPr>
        <w:t>Materials / Supplies #4 “OHV Metal Signs” – Costs significantly increased compared to prior year’s Application. Applicant must provide additional details to justify the costs.</w:t>
      </w:r>
    </w:p>
    <w:p w14:paraId="07355B5B" w14:textId="77777777" w:rsidR="007F05E3" w:rsidRDefault="007F05E3" w:rsidP="000C7B8C">
      <w:pPr>
        <w:ind w:left="36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5F701F3" w:rsidR="00AD43F5" w:rsidRPr="00407912" w:rsidRDefault="000C7B8C" w:rsidP="00AD43F5">
    <w:pPr>
      <w:pStyle w:val="Footer"/>
      <w:jc w:val="right"/>
      <w:rPr>
        <w:rFonts w:ascii="Arial" w:hAnsi="Arial" w:cs="Arial"/>
        <w:sz w:val="22"/>
        <w:szCs w:val="22"/>
      </w:rPr>
    </w:pPr>
    <w:r>
      <w:rPr>
        <w:rFonts w:ascii="Arial" w:hAnsi="Arial" w:cs="Arial"/>
        <w:sz w:val="22"/>
        <w:szCs w:val="22"/>
      </w:rPr>
      <w:t xml:space="preserve">San Diego County Sheriff’s Department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j4Y0OPb/qB6mGrOPnu2ILvB11R9h7XcMRXa06f9LlkMwk3DbutKD9vEKlvowymZJfgp4M8DAHWLNMURrYD6p0g==" w:salt="MmjnDsz9w33Y35a3bj/Ig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C7B8C"/>
    <w:rsid w:val="000E0981"/>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2104</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4</cp:revision>
  <dcterms:created xsi:type="dcterms:W3CDTF">2021-05-05T21:16:00Z</dcterms:created>
  <dcterms:modified xsi:type="dcterms:W3CDTF">2021-05-06T20:47:00Z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